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36299" w14:textId="49B6FF87" w:rsidR="00AA331C" w:rsidRDefault="00F018E7" w:rsidP="0014068E">
      <w:pPr>
        <w:numPr>
          <w:ilvl w:val="0"/>
          <w:numId w:val="4"/>
        </w:numPr>
        <w:tabs>
          <w:tab w:val="clear" w:pos="720"/>
          <w:tab w:val="num" w:pos="360"/>
        </w:tabs>
        <w:spacing w:before="240"/>
        <w:ind w:left="360"/>
        <w:jc w:val="both"/>
        <w:rPr>
          <w:sz w:val="22"/>
          <w:szCs w:val="22"/>
        </w:rPr>
      </w:pPr>
      <w:bookmarkStart w:id="0" w:name="_GoBack"/>
      <w:bookmarkEnd w:id="0"/>
      <w:r>
        <w:rPr>
          <w:rFonts w:ascii="Arial" w:hAnsi="Arial" w:cs="Arial"/>
          <w:bCs/>
          <w:spacing w:val="-3"/>
          <w:sz w:val="22"/>
          <w:szCs w:val="22"/>
        </w:rPr>
        <w:t>On 2 September 2018, the Premier and Minister for Trade announced a Parliamentary Inquiry into issues to do with aged and end-of-life care, including aged care, palliative care and dying with dignity.</w:t>
      </w:r>
    </w:p>
    <w:p w14:paraId="2F5A7128" w14:textId="77777777" w:rsidR="00AA331C" w:rsidRDefault="00F018E7" w:rsidP="0014068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There is a growing body of evidence that the current aged care system is resulting in negative outcomes for older Queenslanders, their families and carers, as well as State and Territory health systems. </w:t>
      </w:r>
    </w:p>
    <w:p w14:paraId="3BB3E2C0" w14:textId="77777777" w:rsidR="00AA331C" w:rsidRDefault="00F018E7" w:rsidP="0014068E">
      <w:pPr>
        <w:numPr>
          <w:ilvl w:val="0"/>
          <w:numId w:val="4"/>
        </w:numPr>
        <w:tabs>
          <w:tab w:val="clear" w:pos="720"/>
          <w:tab w:val="num" w:pos="360"/>
        </w:tabs>
        <w:spacing w:before="240"/>
        <w:ind w:left="360"/>
        <w:jc w:val="both"/>
        <w:rPr>
          <w:rFonts w:ascii="Arial" w:hAnsi="Arial" w:cs="Arial"/>
          <w:bCs/>
          <w:color w:val="auto"/>
          <w:spacing w:val="-3"/>
          <w:sz w:val="22"/>
          <w:szCs w:val="22"/>
          <w:lang w:eastAsia="en-US"/>
        </w:rPr>
      </w:pPr>
      <w:r>
        <w:rPr>
          <w:rFonts w:ascii="Arial" w:hAnsi="Arial" w:cs="Arial"/>
          <w:bCs/>
          <w:spacing w:val="-3"/>
          <w:sz w:val="22"/>
          <w:szCs w:val="22"/>
        </w:rPr>
        <w:t xml:space="preserve">Demand is also increasing for high quality care at the end of life that supports the choices of care recipients and their families and carers, including an increasingly common expectation that people who wish to die at home or in a home-like setting should be able to do so. </w:t>
      </w:r>
      <w:r>
        <w:rPr>
          <w:rFonts w:ascii="Arial" w:hAnsi="Arial" w:cs="Arial"/>
          <w:bCs/>
          <w:color w:val="auto"/>
          <w:spacing w:val="-3"/>
          <w:sz w:val="22"/>
          <w:szCs w:val="22"/>
          <w:lang w:eastAsia="en-US"/>
        </w:rPr>
        <w:t>Palliative care and end-of-life choices may be required at any age in life and should not be assumed to only apply to older Queenslanders.</w:t>
      </w:r>
    </w:p>
    <w:p w14:paraId="7F0EA3B5" w14:textId="75DBEBC0" w:rsidR="00AA331C" w:rsidRDefault="00F018E7" w:rsidP="0014068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Terms of Reference for the Queensland Parliamentary Inquiry into Aged and End-of-Life Care </w:t>
      </w:r>
      <w:r w:rsidR="009909BB">
        <w:rPr>
          <w:rFonts w:ascii="Arial" w:hAnsi="Arial" w:cs="Arial"/>
          <w:bCs/>
          <w:spacing w:val="-3"/>
          <w:sz w:val="22"/>
          <w:szCs w:val="22"/>
        </w:rPr>
        <w:t>w</w:t>
      </w:r>
      <w:r w:rsidR="000164A8">
        <w:rPr>
          <w:rFonts w:ascii="Arial" w:hAnsi="Arial" w:cs="Arial"/>
          <w:bCs/>
          <w:spacing w:val="-3"/>
          <w:sz w:val="22"/>
          <w:szCs w:val="22"/>
        </w:rPr>
        <w:t>ill</w:t>
      </w:r>
      <w:r w:rsidR="009909BB">
        <w:rPr>
          <w:rFonts w:ascii="Arial" w:hAnsi="Arial" w:cs="Arial"/>
          <w:bCs/>
          <w:spacing w:val="-3"/>
          <w:sz w:val="22"/>
          <w:szCs w:val="22"/>
        </w:rPr>
        <w:t xml:space="preserve"> </w:t>
      </w:r>
      <w:r>
        <w:rPr>
          <w:rFonts w:ascii="Arial" w:hAnsi="Arial" w:cs="Arial"/>
          <w:bCs/>
          <w:spacing w:val="-3"/>
          <w:sz w:val="22"/>
          <w:szCs w:val="22"/>
        </w:rPr>
        <w:t>enable the development of a comprehensive understanding of the roles and responsibilities, complexities, issues and barriers to delivering best practice aged care and patient-led end-of-life care in Queensland.</w:t>
      </w:r>
    </w:p>
    <w:p w14:paraId="6FAB4D4A" w14:textId="19503F78" w:rsidR="00AA331C" w:rsidRDefault="00F018E7" w:rsidP="0014068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16 September 2018, the Prime Minister announced that the Australian Government will establish a Royal Commission into Australia’s aged care sector in response to revelations of elder abuse and neglect. </w:t>
      </w:r>
    </w:p>
    <w:p w14:paraId="19C0F783" w14:textId="5B50B7A9" w:rsidR="00AA331C" w:rsidRDefault="00F018E7" w:rsidP="0014068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aged care review component of the Queensland Parliamentary Inquiry enable</w:t>
      </w:r>
      <w:r w:rsidR="009909BB">
        <w:rPr>
          <w:rFonts w:ascii="Arial" w:hAnsi="Arial" w:cs="Arial"/>
          <w:bCs/>
          <w:spacing w:val="-3"/>
          <w:sz w:val="22"/>
          <w:szCs w:val="22"/>
        </w:rPr>
        <w:t>s</w:t>
      </w:r>
      <w:r>
        <w:rPr>
          <w:rFonts w:ascii="Arial" w:hAnsi="Arial" w:cs="Arial"/>
          <w:bCs/>
          <w:spacing w:val="-3"/>
          <w:sz w:val="22"/>
          <w:szCs w:val="22"/>
        </w:rPr>
        <w:t xml:space="preserve"> development of a detailed understanding of the issues being experienced within aged care services in Queensland. This information can then be submitted to the Royal Commission to inform it of critical Queensland aged care reform issues and opportunities for delivering improvements in the delivery of aged care. </w:t>
      </w:r>
    </w:p>
    <w:p w14:paraId="1AE41829" w14:textId="482E52ED" w:rsidR="00AA331C" w:rsidRDefault="00F018E7" w:rsidP="0014068E">
      <w:pPr>
        <w:numPr>
          <w:ilvl w:val="0"/>
          <w:numId w:val="4"/>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approved</w:t>
      </w:r>
      <w:r>
        <w:rPr>
          <w:rFonts w:ascii="Arial" w:hAnsi="Arial" w:cs="Arial"/>
          <w:bCs/>
          <w:spacing w:val="-3"/>
          <w:sz w:val="22"/>
          <w:szCs w:val="22"/>
        </w:rPr>
        <w:t xml:space="preserve"> the moving of a motion in the Legislative Assembly that the Health, Communities, Disability Services and Domestic and Family Violence Prevention Committee inquire into and report to the Legislative Assembly on aged and end-of-life care.</w:t>
      </w:r>
    </w:p>
    <w:p w14:paraId="3B7F9FE2" w14:textId="77777777" w:rsidR="00AA331C" w:rsidRDefault="00F018E7" w:rsidP="000164A8">
      <w:pPr>
        <w:keepNext/>
        <w:numPr>
          <w:ilvl w:val="0"/>
          <w:numId w:val="4"/>
        </w:numPr>
        <w:tabs>
          <w:tab w:val="clear" w:pos="720"/>
          <w:tab w:val="num" w:pos="360"/>
        </w:tabs>
        <w:spacing w:before="360"/>
        <w:ind w:left="360"/>
        <w:jc w:val="both"/>
        <w:rPr>
          <w:rFonts w:ascii="Arial" w:hAnsi="Arial" w:cs="Arial"/>
          <w:sz w:val="22"/>
          <w:szCs w:val="22"/>
        </w:rPr>
      </w:pPr>
      <w:r>
        <w:rPr>
          <w:rFonts w:ascii="Arial" w:hAnsi="Arial" w:cs="Arial"/>
          <w:i/>
          <w:sz w:val="22"/>
          <w:szCs w:val="22"/>
          <w:u w:val="single"/>
        </w:rPr>
        <w:t>Attachments</w:t>
      </w:r>
    </w:p>
    <w:p w14:paraId="2A25636A" w14:textId="42A2AD07" w:rsidR="00AA331C" w:rsidRPr="009909BB" w:rsidRDefault="00EB5B75" w:rsidP="000164A8">
      <w:pPr>
        <w:numPr>
          <w:ilvl w:val="0"/>
          <w:numId w:val="5"/>
        </w:numPr>
        <w:spacing w:before="120"/>
        <w:ind w:left="811"/>
        <w:jc w:val="both"/>
        <w:rPr>
          <w:rFonts w:ascii="Arial" w:hAnsi="Arial" w:cs="Arial"/>
          <w:sz w:val="22"/>
          <w:szCs w:val="22"/>
        </w:rPr>
      </w:pPr>
      <w:r>
        <w:rPr>
          <w:rFonts w:ascii="Arial" w:hAnsi="Arial" w:cs="Arial"/>
          <w:sz w:val="22"/>
          <w:szCs w:val="22"/>
        </w:rPr>
        <w:t>Nil.</w:t>
      </w:r>
    </w:p>
    <w:sectPr w:rsidR="00AA331C" w:rsidRPr="009909BB" w:rsidSect="0014068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C87B" w14:textId="77777777" w:rsidR="00DF422B" w:rsidRDefault="00DF422B">
      <w:r>
        <w:separator/>
      </w:r>
    </w:p>
  </w:endnote>
  <w:endnote w:type="continuationSeparator" w:id="0">
    <w:p w14:paraId="63116111" w14:textId="77777777" w:rsidR="00DF422B" w:rsidRDefault="00DF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C67FE" w14:textId="77777777" w:rsidR="00DF422B" w:rsidRDefault="00DF422B">
      <w:r>
        <w:separator/>
      </w:r>
    </w:p>
  </w:footnote>
  <w:footnote w:type="continuationSeparator" w:id="0">
    <w:p w14:paraId="1AB56123" w14:textId="77777777" w:rsidR="00DF422B" w:rsidRDefault="00DF4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3D982" w14:textId="77777777" w:rsidR="00AA331C" w:rsidRDefault="00F018E7" w:rsidP="009909BB">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 w:val="right" w:pos="8931"/>
      </w:tabs>
      <w:jc w:val="center"/>
      <w:rPr>
        <w:rFonts w:ascii="Arial" w:hAnsi="Arial" w:cs="Arial"/>
        <w:b/>
        <w:sz w:val="28"/>
        <w:szCs w:val="22"/>
      </w:rPr>
    </w:pPr>
    <w:r>
      <w:rPr>
        <w:rFonts w:ascii="Arial" w:hAnsi="Arial" w:cs="Arial"/>
        <w:b/>
        <w:sz w:val="28"/>
        <w:szCs w:val="22"/>
      </w:rPr>
      <w:t>Queensland Government</w:t>
    </w:r>
  </w:p>
  <w:p w14:paraId="79FC27E4" w14:textId="77777777" w:rsidR="00AA331C" w:rsidRDefault="00AA331C">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9934399" w14:textId="77777777" w:rsidR="00AA331C" w:rsidRDefault="00F018E7" w:rsidP="009909BB">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 w:val="center" w:pos="0"/>
      </w:tabs>
      <w:jc w:val="center"/>
      <w:rPr>
        <w:rFonts w:ascii="Arial" w:hAnsi="Arial" w:cs="Arial"/>
        <w:b/>
        <w:sz w:val="22"/>
        <w:szCs w:val="22"/>
      </w:rPr>
    </w:pPr>
    <w:r>
      <w:rPr>
        <w:rFonts w:ascii="Arial" w:hAnsi="Arial" w:cs="Arial"/>
        <w:b/>
        <w:sz w:val="22"/>
        <w:szCs w:val="22"/>
      </w:rPr>
      <w:t>Cabinet – November 2018</w:t>
    </w:r>
  </w:p>
  <w:p w14:paraId="01952279" w14:textId="39929A24" w:rsidR="00AA331C" w:rsidRDefault="00F018E7">
    <w:pPr>
      <w:pStyle w:val="Header"/>
      <w:spacing w:before="120"/>
      <w:rPr>
        <w:rFonts w:ascii="Arial" w:hAnsi="Arial" w:cs="Arial"/>
        <w:b/>
        <w:sz w:val="22"/>
        <w:szCs w:val="22"/>
        <w:u w:val="single"/>
      </w:rPr>
    </w:pPr>
    <w:r>
      <w:rPr>
        <w:rFonts w:ascii="Arial" w:hAnsi="Arial" w:cs="Arial"/>
        <w:b/>
        <w:sz w:val="22"/>
        <w:szCs w:val="22"/>
        <w:u w:val="single"/>
      </w:rPr>
      <w:t>Terms of Reference for a Queensland Parliamentary Inquiry into Aged and End-of-Life Care</w:t>
    </w:r>
  </w:p>
  <w:p w14:paraId="51581FEC" w14:textId="77777777" w:rsidR="00AA331C" w:rsidRDefault="00F018E7">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14:paraId="3CCD81C5" w14:textId="77777777" w:rsidR="00AA331C" w:rsidRDefault="00AA331C">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95"/>
    <w:multiLevelType w:val="hybridMultilevel"/>
    <w:tmpl w:val="CEC2617A"/>
    <w:lvl w:ilvl="0" w:tplc="0C090001">
      <w:start w:val="1"/>
      <w:numFmt w:val="bullet"/>
      <w:lvlText w:val=""/>
      <w:lvlJc w:val="left"/>
      <w:pPr>
        <w:tabs>
          <w:tab w:val="num" w:pos="1134"/>
        </w:tabs>
        <w:ind w:left="1134" w:hanging="567"/>
      </w:pPr>
      <w:rPr>
        <w:rFonts w:ascii="Symbol" w:hAnsi="Symbol" w:hint="default"/>
        <w:b w:val="0"/>
        <w:i w:val="0"/>
      </w:rPr>
    </w:lvl>
    <w:lvl w:ilvl="1" w:tplc="EEB2BBDA">
      <w:start w:val="1"/>
      <w:numFmt w:val="lowerLetter"/>
      <w:lvlText w:val="%2."/>
      <w:lvlJc w:val="left"/>
      <w:pPr>
        <w:tabs>
          <w:tab w:val="num" w:pos="2007"/>
        </w:tabs>
        <w:ind w:left="2007" w:hanging="360"/>
      </w:pPr>
      <w:rPr>
        <w:rFonts w:ascii="Times New Roman" w:hAnsi="Times New Roman" w:cs="Times New Roman" w:hint="default"/>
      </w:rPr>
    </w:lvl>
    <w:lvl w:ilvl="2" w:tplc="0C09001B" w:tentative="1">
      <w:start w:val="1"/>
      <w:numFmt w:val="lowerRoman"/>
      <w:lvlText w:val="%3."/>
      <w:lvlJc w:val="right"/>
      <w:pPr>
        <w:tabs>
          <w:tab w:val="num" w:pos="2727"/>
        </w:tabs>
        <w:ind w:left="2727" w:hanging="180"/>
      </w:pPr>
      <w:rPr>
        <w:rFonts w:cs="Times New Roman"/>
      </w:rPr>
    </w:lvl>
    <w:lvl w:ilvl="3" w:tplc="0C09000F" w:tentative="1">
      <w:start w:val="1"/>
      <w:numFmt w:val="decimal"/>
      <w:lvlText w:val="%4."/>
      <w:lvlJc w:val="left"/>
      <w:pPr>
        <w:tabs>
          <w:tab w:val="num" w:pos="3447"/>
        </w:tabs>
        <w:ind w:left="3447" w:hanging="360"/>
      </w:pPr>
      <w:rPr>
        <w:rFonts w:cs="Times New Roman"/>
      </w:rPr>
    </w:lvl>
    <w:lvl w:ilvl="4" w:tplc="0C090019" w:tentative="1">
      <w:start w:val="1"/>
      <w:numFmt w:val="lowerLetter"/>
      <w:lvlText w:val="%5."/>
      <w:lvlJc w:val="left"/>
      <w:pPr>
        <w:tabs>
          <w:tab w:val="num" w:pos="4167"/>
        </w:tabs>
        <w:ind w:left="4167" w:hanging="360"/>
      </w:pPr>
      <w:rPr>
        <w:rFonts w:cs="Times New Roman"/>
      </w:rPr>
    </w:lvl>
    <w:lvl w:ilvl="5" w:tplc="0C09001B" w:tentative="1">
      <w:start w:val="1"/>
      <w:numFmt w:val="lowerRoman"/>
      <w:lvlText w:val="%6."/>
      <w:lvlJc w:val="right"/>
      <w:pPr>
        <w:tabs>
          <w:tab w:val="num" w:pos="4887"/>
        </w:tabs>
        <w:ind w:left="4887" w:hanging="180"/>
      </w:pPr>
      <w:rPr>
        <w:rFonts w:cs="Times New Roman"/>
      </w:rPr>
    </w:lvl>
    <w:lvl w:ilvl="6" w:tplc="0C09000F" w:tentative="1">
      <w:start w:val="1"/>
      <w:numFmt w:val="decimal"/>
      <w:lvlText w:val="%7."/>
      <w:lvlJc w:val="left"/>
      <w:pPr>
        <w:tabs>
          <w:tab w:val="num" w:pos="5607"/>
        </w:tabs>
        <w:ind w:left="5607" w:hanging="360"/>
      </w:pPr>
      <w:rPr>
        <w:rFonts w:cs="Times New Roman"/>
      </w:rPr>
    </w:lvl>
    <w:lvl w:ilvl="7" w:tplc="0C090019" w:tentative="1">
      <w:start w:val="1"/>
      <w:numFmt w:val="lowerLetter"/>
      <w:lvlText w:val="%8."/>
      <w:lvlJc w:val="left"/>
      <w:pPr>
        <w:tabs>
          <w:tab w:val="num" w:pos="6327"/>
        </w:tabs>
        <w:ind w:left="6327" w:hanging="360"/>
      </w:pPr>
      <w:rPr>
        <w:rFonts w:cs="Times New Roman"/>
      </w:rPr>
    </w:lvl>
    <w:lvl w:ilvl="8" w:tplc="0C09001B" w:tentative="1">
      <w:start w:val="1"/>
      <w:numFmt w:val="lowerRoman"/>
      <w:lvlText w:val="%9."/>
      <w:lvlJc w:val="right"/>
      <w:pPr>
        <w:tabs>
          <w:tab w:val="num" w:pos="7047"/>
        </w:tabs>
        <w:ind w:left="7047" w:hanging="180"/>
      </w:pPr>
      <w:rPr>
        <w:rFonts w:cs="Times New Roman"/>
      </w:rPr>
    </w:lvl>
  </w:abstractNum>
  <w:abstractNum w:abstractNumId="1" w15:restartNumberingAfterBreak="0">
    <w:nsid w:val="0CC642FF"/>
    <w:multiLevelType w:val="hybridMultilevel"/>
    <w:tmpl w:val="E396A576"/>
    <w:lvl w:ilvl="0" w:tplc="0C09001B">
      <w:start w:val="1"/>
      <w:numFmt w:val="lowerRoman"/>
      <w:lvlText w:val="%1."/>
      <w:lvlJc w:val="right"/>
      <w:pPr>
        <w:ind w:left="1080" w:hanging="360"/>
      </w:pPr>
      <w:rPr>
        <w:rFonts w:cs="Times New Roman"/>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26B07588"/>
    <w:multiLevelType w:val="hybridMultilevel"/>
    <w:tmpl w:val="69EE62D6"/>
    <w:lvl w:ilvl="0" w:tplc="0C09001B">
      <w:start w:val="1"/>
      <w:numFmt w:val="lowerRoman"/>
      <w:lvlText w:val="%1."/>
      <w:lvlJc w:val="righ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12E67FD"/>
    <w:multiLevelType w:val="hybridMultilevel"/>
    <w:tmpl w:val="24B22C88"/>
    <w:lvl w:ilvl="0" w:tplc="0C090019">
      <w:start w:val="1"/>
      <w:numFmt w:val="lowerLetter"/>
      <w:lvlText w:val="%1."/>
      <w:lvlJc w:val="left"/>
      <w:pPr>
        <w:ind w:left="717" w:hanging="360"/>
      </w:pPr>
      <w:rPr>
        <w:rFonts w:cs="Times New Roman"/>
      </w:rPr>
    </w:lvl>
    <w:lvl w:ilvl="1" w:tplc="DB562A8C">
      <w:start w:val="1"/>
      <w:numFmt w:val="lowerRoman"/>
      <w:lvlText w:val="%2."/>
      <w:lvlJc w:val="left"/>
      <w:pPr>
        <w:ind w:left="1797" w:hanging="720"/>
      </w:pPr>
      <w:rPr>
        <w:rFonts w:cs="Times New Roman" w:hint="default"/>
      </w:rPr>
    </w:lvl>
    <w:lvl w:ilvl="2" w:tplc="0C09001B" w:tentative="1">
      <w:start w:val="1"/>
      <w:numFmt w:val="lowerRoman"/>
      <w:lvlText w:val="%3."/>
      <w:lvlJc w:val="right"/>
      <w:pPr>
        <w:ind w:left="2157" w:hanging="180"/>
      </w:pPr>
      <w:rPr>
        <w:rFonts w:cs="Times New Roman"/>
      </w:rPr>
    </w:lvl>
    <w:lvl w:ilvl="3" w:tplc="0C09000F" w:tentative="1">
      <w:start w:val="1"/>
      <w:numFmt w:val="decimal"/>
      <w:lvlText w:val="%4."/>
      <w:lvlJc w:val="left"/>
      <w:pPr>
        <w:ind w:left="2877" w:hanging="360"/>
      </w:pPr>
      <w:rPr>
        <w:rFonts w:cs="Times New Roman"/>
      </w:rPr>
    </w:lvl>
    <w:lvl w:ilvl="4" w:tplc="0C090019" w:tentative="1">
      <w:start w:val="1"/>
      <w:numFmt w:val="lowerLetter"/>
      <w:lvlText w:val="%5."/>
      <w:lvlJc w:val="left"/>
      <w:pPr>
        <w:ind w:left="3597" w:hanging="360"/>
      </w:pPr>
      <w:rPr>
        <w:rFonts w:cs="Times New Roman"/>
      </w:rPr>
    </w:lvl>
    <w:lvl w:ilvl="5" w:tplc="0C09001B" w:tentative="1">
      <w:start w:val="1"/>
      <w:numFmt w:val="lowerRoman"/>
      <w:lvlText w:val="%6."/>
      <w:lvlJc w:val="right"/>
      <w:pPr>
        <w:ind w:left="4317" w:hanging="180"/>
      </w:pPr>
      <w:rPr>
        <w:rFonts w:cs="Times New Roman"/>
      </w:rPr>
    </w:lvl>
    <w:lvl w:ilvl="6" w:tplc="0C09000F" w:tentative="1">
      <w:start w:val="1"/>
      <w:numFmt w:val="decimal"/>
      <w:lvlText w:val="%7."/>
      <w:lvlJc w:val="left"/>
      <w:pPr>
        <w:ind w:left="5037" w:hanging="360"/>
      </w:pPr>
      <w:rPr>
        <w:rFonts w:cs="Times New Roman"/>
      </w:rPr>
    </w:lvl>
    <w:lvl w:ilvl="7" w:tplc="0C090019" w:tentative="1">
      <w:start w:val="1"/>
      <w:numFmt w:val="lowerLetter"/>
      <w:lvlText w:val="%8."/>
      <w:lvlJc w:val="left"/>
      <w:pPr>
        <w:ind w:left="5757" w:hanging="360"/>
      </w:pPr>
      <w:rPr>
        <w:rFonts w:cs="Times New Roman"/>
      </w:rPr>
    </w:lvl>
    <w:lvl w:ilvl="8" w:tplc="0C09001B" w:tentative="1">
      <w:start w:val="1"/>
      <w:numFmt w:val="lowerRoman"/>
      <w:lvlText w:val="%9."/>
      <w:lvlJc w:val="right"/>
      <w:pPr>
        <w:ind w:left="6477" w:hanging="180"/>
      </w:pPr>
      <w:rPr>
        <w:rFonts w:cs="Times New Roman"/>
      </w:rPr>
    </w:lvl>
  </w:abstractNum>
  <w:abstractNum w:abstractNumId="6"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902D2F"/>
    <w:multiLevelType w:val="hybridMultilevel"/>
    <w:tmpl w:val="D700C080"/>
    <w:lvl w:ilvl="0" w:tplc="88303B2C">
      <w:start w:val="1"/>
      <w:numFmt w:val="decimal"/>
      <w:lvlText w:val="%1."/>
      <w:lvlJc w:val="left"/>
      <w:pPr>
        <w:tabs>
          <w:tab w:val="num" w:pos="567"/>
        </w:tabs>
        <w:ind w:left="567" w:hanging="567"/>
      </w:pPr>
      <w:rPr>
        <w:rFonts w:cs="Times New Roman" w:hint="default"/>
        <w:b w:val="0"/>
        <w:i w:val="0"/>
      </w:rPr>
    </w:lvl>
    <w:lvl w:ilvl="1" w:tplc="EEB2BBDA">
      <w:start w:val="1"/>
      <w:numFmt w:val="lowerLetter"/>
      <w:lvlText w:val="%2."/>
      <w:lvlJc w:val="left"/>
      <w:pPr>
        <w:tabs>
          <w:tab w:val="num" w:pos="1440"/>
        </w:tabs>
        <w:ind w:left="1440" w:hanging="360"/>
      </w:pPr>
      <w:rPr>
        <w:rFonts w:ascii="Times New Roman" w:hAnsi="Times New Roman"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BE966B9"/>
    <w:multiLevelType w:val="hybridMultilevel"/>
    <w:tmpl w:val="066CC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130200"/>
    <w:multiLevelType w:val="hybridMultilevel"/>
    <w:tmpl w:val="CC7E7E94"/>
    <w:lvl w:ilvl="0" w:tplc="88303B2C">
      <w:start w:val="1"/>
      <w:numFmt w:val="decimal"/>
      <w:lvlText w:val="%1."/>
      <w:lvlJc w:val="left"/>
      <w:pPr>
        <w:tabs>
          <w:tab w:val="num" w:pos="567"/>
        </w:tabs>
        <w:ind w:left="567" w:hanging="567"/>
      </w:pPr>
      <w:rPr>
        <w:rFonts w:cs="Times New Roman" w:hint="default"/>
        <w:b w:val="0"/>
        <w:i w:val="0"/>
      </w:rPr>
    </w:lvl>
    <w:lvl w:ilvl="1" w:tplc="EEB2BBDA">
      <w:start w:val="1"/>
      <w:numFmt w:val="lowerLetter"/>
      <w:lvlText w:val="%2."/>
      <w:lvlJc w:val="left"/>
      <w:pPr>
        <w:tabs>
          <w:tab w:val="num" w:pos="1440"/>
        </w:tabs>
        <w:ind w:left="1440" w:hanging="360"/>
      </w:pPr>
      <w:rPr>
        <w:rFonts w:ascii="Times New Roman" w:hAnsi="Times New Roman"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B0F5ADA"/>
    <w:multiLevelType w:val="hybridMultilevel"/>
    <w:tmpl w:val="57FCF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176F87"/>
    <w:multiLevelType w:val="hybridMultilevel"/>
    <w:tmpl w:val="8FA4237A"/>
    <w:lvl w:ilvl="0" w:tplc="42BEC918">
      <w:start w:val="1"/>
      <w:numFmt w:val="decimal"/>
      <w:lvlText w:val="%1."/>
      <w:lvlJc w:val="left"/>
      <w:pPr>
        <w:tabs>
          <w:tab w:val="num" w:pos="720"/>
        </w:tabs>
        <w:ind w:left="720" w:hanging="360"/>
      </w:pPr>
      <w:rPr>
        <w:rFonts w:ascii="Arial" w:hAnsi="Arial" w:cs="Aria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6"/>
  </w:num>
  <w:num w:numId="4">
    <w:abstractNumId w:val="12"/>
  </w:num>
  <w:num w:numId="5">
    <w:abstractNumId w:val="11"/>
  </w:num>
  <w:num w:numId="6">
    <w:abstractNumId w:val="9"/>
  </w:num>
  <w:num w:numId="7">
    <w:abstractNumId w:val="8"/>
  </w:num>
  <w:num w:numId="8">
    <w:abstractNumId w:val="10"/>
  </w:num>
  <w:num w:numId="9">
    <w:abstractNumId w:val="7"/>
  </w:num>
  <w:num w:numId="10">
    <w:abstractNumId w:val="0"/>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331C"/>
    <w:rsid w:val="000164A8"/>
    <w:rsid w:val="0014068E"/>
    <w:rsid w:val="0023513E"/>
    <w:rsid w:val="00276415"/>
    <w:rsid w:val="00487F9A"/>
    <w:rsid w:val="004E02F0"/>
    <w:rsid w:val="008C43EF"/>
    <w:rsid w:val="009909BB"/>
    <w:rsid w:val="009A4901"/>
    <w:rsid w:val="00AA331C"/>
    <w:rsid w:val="00BA2F9F"/>
    <w:rsid w:val="00C62A80"/>
    <w:rsid w:val="00DF422B"/>
    <w:rsid w:val="00EB5B75"/>
    <w:rsid w:val="00F01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olor w:val="000000"/>
      <w:sz w:val="24"/>
    </w:rPr>
  </w:style>
  <w:style w:type="paragraph" w:styleId="Heading2">
    <w:name w:val="heading 2"/>
    <w:basedOn w:val="Normal"/>
    <w:next w:val="Normal"/>
    <w:link w:val="Heading2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Pr>
      <w:rFonts w:ascii="Times New Roman" w:hAnsi="Times New Roman" w:cs="Times New Roman"/>
      <w:b/>
      <w:color w:val="000000"/>
      <w:sz w:val="20"/>
      <w:szCs w:val="20"/>
      <w:lang w:val="en-GB" w:eastAsia="en-AU"/>
    </w:rPr>
  </w:style>
  <w:style w:type="character" w:customStyle="1" w:styleId="Heading3Char">
    <w:name w:val="Heading 3 Char"/>
    <w:link w:val="Heading3"/>
    <w:uiPriority w:val="99"/>
    <w:locked/>
    <w:rPr>
      <w:rFonts w:ascii="Times New Roman" w:hAnsi="Times New Roman" w:cs="Times New Roman"/>
      <w:b/>
      <w:color w:val="000000"/>
      <w:sz w:val="20"/>
      <w:szCs w:val="20"/>
      <w:lang w:eastAsia="en-AU"/>
    </w:rPr>
  </w:style>
  <w:style w:type="paragraph" w:styleId="Header">
    <w:name w:val="header"/>
    <w:basedOn w:val="Normal"/>
    <w:link w:val="HeaderChar"/>
    <w:uiPriority w:val="99"/>
    <w:pPr>
      <w:tabs>
        <w:tab w:val="center" w:pos="4153"/>
        <w:tab w:val="right" w:pos="8306"/>
      </w:tabs>
    </w:pPr>
    <w:rPr>
      <w:color w:val="auto"/>
    </w:rPr>
  </w:style>
  <w:style w:type="character" w:customStyle="1" w:styleId="HeaderChar">
    <w:name w:val="Header Char"/>
    <w:link w:val="Header"/>
    <w:uiPriority w:val="99"/>
    <w:locked/>
    <w:rPr>
      <w:rFonts w:ascii="Times New Roman" w:hAnsi="Times New Roman" w:cs="Times New Roman"/>
      <w:sz w:val="20"/>
      <w:szCs w:val="20"/>
      <w:lang w:eastAsia="en-AU"/>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color w:val="000000"/>
      <w:sz w:val="20"/>
      <w:szCs w:val="20"/>
      <w:lang w:eastAsia="en-AU"/>
    </w:rPr>
  </w:style>
  <w:style w:type="paragraph" w:styleId="BodyText">
    <w:name w:val="Body Text"/>
    <w:basedOn w:val="Normal"/>
    <w:link w:val="BodyTextChar"/>
    <w:uiPriority w:val="99"/>
    <w:rPr>
      <w:color w:val="auto"/>
      <w:lang w:eastAsia="en-US"/>
    </w:rPr>
  </w:style>
  <w:style w:type="character" w:customStyle="1" w:styleId="BodyTextChar">
    <w:name w:val="Body Text Char"/>
    <w:link w:val="BodyText"/>
    <w:uiPriority w:val="99"/>
    <w:locked/>
    <w:rPr>
      <w:rFonts w:ascii="Times New Roman" w:hAnsi="Times New Roman" w:cs="Times New Roman"/>
      <w:sz w:val="20"/>
      <w:szCs w:val="20"/>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ascii="Times New Roman" w:hAnsi="Times New Roman" w:cs="Times New Roman"/>
      <w:color w:val="000000"/>
      <w:sz w:val="20"/>
      <w:szCs w:val="20"/>
      <w:lang w:eastAsia="en-AU"/>
    </w:rPr>
  </w:style>
  <w:style w:type="paragraph" w:styleId="ListParagraph">
    <w:name w:val="List Paragraph"/>
    <w:basedOn w:val="Normal"/>
    <w:uiPriority w:val="99"/>
    <w:qFormat/>
    <w:pPr>
      <w:ind w:left="720"/>
    </w:pPr>
  </w:style>
  <w:style w:type="character" w:customStyle="1" w:styleId="DocSubTitle">
    <w:name w:val="DocSubTitle"/>
    <w:uiPriority w:val="99"/>
    <w:semiHidden/>
    <w:rPr>
      <w:rFonts w:cs="Times New Roman"/>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color w:val="000000"/>
      <w:sz w:val="18"/>
      <w:szCs w:val="18"/>
      <w:lang w:eastAsia="en-AU"/>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color w:val="000000"/>
      <w:sz w:val="20"/>
      <w:szCs w:val="20"/>
      <w:lang w:eastAsia="en-AU"/>
    </w:rPr>
  </w:style>
  <w:style w:type="paragraph" w:styleId="Revision">
    <w:name w:val="Revision"/>
    <w:hidden/>
    <w:uiPriority w:val="99"/>
    <w:semiHidden/>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317</Words>
  <Characters>1704</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SECURITY CLASSIFICATION “C”</vt:lpstr>
    </vt:vector>
  </TitlesOfParts>
  <Company/>
  <LinksUpToDate>false</LinksUpToDate>
  <CharactersWithSpaces>2016</CharactersWithSpaces>
  <SharedDoc>false</SharedDoc>
  <HyperlinkBase>https://www.cabinet.qld.gov.au/documents/2018/Nov/ToRPInq/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14</cp:revision>
  <cp:lastPrinted>2019-02-06T01:48:00Z</cp:lastPrinted>
  <dcterms:created xsi:type="dcterms:W3CDTF">2018-09-30T11:38:00Z</dcterms:created>
  <dcterms:modified xsi:type="dcterms:W3CDTF">2019-12-11T09:15:00Z</dcterms:modified>
  <cp:category>Health,Aged_Care,Seniors</cp:category>
</cp:coreProperties>
</file>